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7F0F" w:rsidRPr="00237F0F" w:rsidRDefault="00237F0F" w:rsidP="00237F0F">
      <w:pPr>
        <w:spacing w:after="0" w:line="240" w:lineRule="auto"/>
        <w:jc w:val="both"/>
        <w:rPr>
          <w:rFonts w:ascii="SUBSCRIBER" w:hAnsi="SUBSCRIBER" w:cs="Calibri"/>
          <w:b/>
          <w:bCs/>
          <w:spacing w:val="20"/>
          <w:w w:val="150"/>
          <w:sz w:val="32"/>
          <w:szCs w:val="32"/>
        </w:rPr>
      </w:pPr>
      <w:bookmarkStart w:id="0" w:name="_Toc24665364"/>
      <w:bookmarkStart w:id="1" w:name="_GoBack"/>
      <w:bookmarkEnd w:id="1"/>
      <w:r w:rsidRPr="00237F0F"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DC5D2AB" wp14:editId="492FBA25">
            <wp:simplePos x="0" y="0"/>
            <wp:positionH relativeFrom="column">
              <wp:posOffset>4809490</wp:posOffset>
            </wp:positionH>
            <wp:positionV relativeFrom="paragraph">
              <wp:posOffset>-474980</wp:posOffset>
            </wp:positionV>
            <wp:extent cx="998855" cy="998855"/>
            <wp:effectExtent l="0" t="0" r="0" b="0"/>
            <wp:wrapTight wrapText="bothSides">
              <wp:wrapPolygon edited="0">
                <wp:start x="0" y="0"/>
                <wp:lineTo x="0" y="21010"/>
                <wp:lineTo x="21010" y="21010"/>
                <wp:lineTo x="21010" y="0"/>
                <wp:lineTo x="0" y="0"/>
              </wp:wrapPolygon>
            </wp:wrapTight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 encontro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32"/>
          <w:szCs w:val="32"/>
        </w:rPr>
        <w:t xml:space="preserve">Etapa 4 | </w:t>
      </w:r>
      <w:r w:rsidRPr="00237F0F">
        <w:rPr>
          <w:rFonts w:ascii="Calibri" w:eastAsia="Calibri" w:hAnsi="Calibri" w:cs="Calibri"/>
          <w:b/>
          <w:sz w:val="32"/>
          <w:szCs w:val="32"/>
        </w:rPr>
        <w:t>Encontro 3 – Interpretar II</w:t>
      </w:r>
      <w:bookmarkEnd w:id="0"/>
    </w:p>
    <w:p w:rsidR="00237F0F" w:rsidRPr="00147EE0" w:rsidRDefault="00237F0F" w:rsidP="00237F0F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237F0F" w:rsidRPr="005C2D8C" w:rsidRDefault="00237F0F" w:rsidP="00237F0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C2D8C">
        <w:rPr>
          <w:rFonts w:ascii="Calibri" w:eastAsia="Calibri" w:hAnsi="Calibri" w:cs="Calibri"/>
          <w:b/>
          <w:sz w:val="24"/>
          <w:szCs w:val="24"/>
        </w:rPr>
        <w:t>Objetivos:</w:t>
      </w:r>
    </w:p>
    <w:p w:rsidR="00237F0F" w:rsidRPr="005C2D8C" w:rsidRDefault="00237F0F" w:rsidP="00237F0F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Aprofundar a consciência de ser filho de Deus, pelo Batismo;</w:t>
      </w:r>
    </w:p>
    <w:p w:rsidR="00237F0F" w:rsidRPr="005C2D8C" w:rsidRDefault="00237F0F" w:rsidP="00237F0F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Celebrar a misericórdia de Deus por si, no sacramento da reconciliação;</w:t>
      </w:r>
    </w:p>
    <w:p w:rsidR="00237F0F" w:rsidRPr="005C2D8C" w:rsidRDefault="00237F0F" w:rsidP="00237F0F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Dar continuidade à organização do projeto.</w:t>
      </w:r>
    </w:p>
    <w:p w:rsidR="00237F0F" w:rsidRPr="005C2D8C" w:rsidRDefault="00237F0F" w:rsidP="00237F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C2D8C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237F0F" w:rsidRPr="005C2D8C" w:rsidRDefault="00237F0F" w:rsidP="00237F0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C2D8C">
        <w:rPr>
          <w:rFonts w:ascii="Calibri" w:eastAsia="Calibri" w:hAnsi="Calibri" w:cs="Calibri"/>
          <w:b/>
          <w:sz w:val="24"/>
          <w:szCs w:val="24"/>
        </w:rPr>
        <w:t>Materiais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Quadro «O regresso do filho pródigo», utilizado no encontro anterior;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Vídeo «O filho pródigo moderno»;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Folha para exame de consciência;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T-shirts brancas;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Tinta</w:t>
      </w:r>
      <w:r>
        <w:rPr>
          <w:rFonts w:ascii="Calibri" w:eastAsia="Calibri" w:hAnsi="Calibri" w:cs="Calibri"/>
          <w:sz w:val="24"/>
          <w:szCs w:val="24"/>
        </w:rPr>
        <w:t xml:space="preserve"> (guache cores fortes e espeças: azul escuro, roxo ou vermelho vivo)</w:t>
      </w:r>
      <w:r w:rsidRPr="005C2D8C">
        <w:rPr>
          <w:rFonts w:ascii="Calibri" w:eastAsia="Calibri" w:hAnsi="Calibri" w:cs="Calibri"/>
          <w:sz w:val="24"/>
          <w:szCs w:val="24"/>
        </w:rPr>
        <w:t>;</w:t>
      </w:r>
    </w:p>
    <w:p w:rsidR="00237F0F" w:rsidRPr="005C2D8C" w:rsidRDefault="00237F0F" w:rsidP="00237F0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C2D8C">
        <w:rPr>
          <w:rFonts w:ascii="Calibri" w:eastAsia="Calibri" w:hAnsi="Calibri" w:cs="Calibri"/>
          <w:color w:val="000000"/>
          <w:sz w:val="24"/>
          <w:szCs w:val="24"/>
        </w:rPr>
        <w:t>Dístico «</w:t>
      </w:r>
      <w:r w:rsidRPr="005C2D8C">
        <w:rPr>
          <w:rFonts w:ascii="Calibri" w:eastAsia="Arial" w:hAnsi="Calibri" w:cs="Calibri"/>
          <w:color w:val="000000"/>
          <w:sz w:val="24"/>
          <w:szCs w:val="24"/>
        </w:rPr>
        <w:t>F</w:t>
      </w:r>
      <w:r w:rsidRPr="005C2D8C">
        <w:rPr>
          <w:rFonts w:ascii="Calibri" w:eastAsia="Calibri" w:hAnsi="Calibri" w:cs="Calibri"/>
          <w:color w:val="000000"/>
          <w:sz w:val="24"/>
          <w:szCs w:val="24"/>
        </w:rPr>
        <w:t>omos baptizados em Jesus Cristo»;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Bacia com água;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74559988" wp14:editId="12EFE89A">
            <wp:simplePos x="0" y="0"/>
            <wp:positionH relativeFrom="column">
              <wp:posOffset>3153410</wp:posOffset>
            </wp:positionH>
            <wp:positionV relativeFrom="paragraph">
              <wp:posOffset>64135</wp:posOffset>
            </wp:positionV>
            <wp:extent cx="1181735" cy="1181735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es vi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D8C">
        <w:rPr>
          <w:rFonts w:ascii="Calibri" w:eastAsia="Calibri" w:hAnsi="Calibri" w:cs="Calibri"/>
          <w:sz w:val="24"/>
          <w:szCs w:val="24"/>
        </w:rPr>
        <w:t>Velas;</w:t>
      </w:r>
    </w:p>
    <w:p w:rsidR="00237F0F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Música de fundo;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Ficheiro áudio do cântico «Podes vir».</w:t>
      </w:r>
    </w:p>
    <w:p w:rsidR="00237F0F" w:rsidRDefault="00237F0F" w:rsidP="00237F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37F0F" w:rsidRDefault="00237F0F" w:rsidP="00237F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37F0F" w:rsidRPr="005C2D8C" w:rsidRDefault="00237F0F" w:rsidP="00237F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37F0F" w:rsidRPr="005C2D8C" w:rsidRDefault="00237F0F" w:rsidP="00237F0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C2D8C">
        <w:rPr>
          <w:rFonts w:ascii="Calibri" w:eastAsia="Calibri" w:hAnsi="Calibri" w:cs="Calibri"/>
          <w:b/>
          <w:sz w:val="24"/>
          <w:szCs w:val="24"/>
        </w:rPr>
        <w:t>Observações: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Propõe-se a realização de uma celebração penitencial</w:t>
      </w:r>
      <w:r>
        <w:rPr>
          <w:rFonts w:ascii="Calibri" w:eastAsia="Calibri" w:hAnsi="Calibri" w:cs="Calibri"/>
          <w:sz w:val="24"/>
          <w:szCs w:val="24"/>
        </w:rPr>
        <w:t xml:space="preserve"> com celebração do sacramento da reconciliação;</w:t>
      </w:r>
    </w:p>
    <w:p w:rsidR="00237F0F" w:rsidRPr="005C2D8C" w:rsidRDefault="00237F0F" w:rsidP="00237F0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Calibri" w:hAnsi="Calibri" w:cs="Calibri"/>
          <w:sz w:val="24"/>
          <w:szCs w:val="24"/>
        </w:rPr>
        <w:t>A motivação inicial pode ser feita no local onde se realiza a celebração ou numa sala anexa.</w:t>
      </w:r>
    </w:p>
    <w:p w:rsidR="00237F0F" w:rsidRPr="005C2D8C" w:rsidRDefault="00237F0F" w:rsidP="00237F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2D8C">
        <w:rPr>
          <w:rFonts w:ascii="Calibri" w:eastAsia="Times New Roman" w:hAnsi="Calibri" w:cs="Calibri"/>
          <w:sz w:val="24"/>
          <w:szCs w:val="24"/>
        </w:rPr>
        <w:t xml:space="preserve"> </w:t>
      </w: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5550"/>
        <w:gridCol w:w="1261"/>
        <w:gridCol w:w="2127"/>
      </w:tblGrid>
      <w:tr w:rsidR="00237F0F" w:rsidRPr="005C2D8C" w:rsidTr="00D44D6F">
        <w:tc>
          <w:tcPr>
            <w:tcW w:w="6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Desenrolar do encontro</w:t>
            </w:r>
          </w:p>
        </w:tc>
        <w:tc>
          <w:tcPr>
            <w:tcW w:w="126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Materiais</w:t>
            </w:r>
          </w:p>
        </w:tc>
        <w:tc>
          <w:tcPr>
            <w:tcW w:w="212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Observações</w:t>
            </w:r>
          </w:p>
        </w:tc>
      </w:tr>
      <w:tr w:rsidR="00237F0F" w:rsidRPr="005C2D8C" w:rsidTr="00D44D6F">
        <w:tc>
          <w:tcPr>
            <w:tcW w:w="66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1. Ambientação</w:t>
            </w: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No local da celebração estão dispostos a cruz do grupo e o quadro «O regresso do filho pródigo».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2. Motivação</w:t>
            </w:r>
          </w:p>
          <w:p w:rsidR="00237F0F" w:rsidRPr="005C2D8C" w:rsidRDefault="00237F0F" w:rsidP="00237F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sequência do encontro anterior, o catequista refere que a proposta desta semana é uma celebração penitencial, na qual cada um é chamado a reconhecer-se como filho de Deus e a acolher a sua misericórdia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  <w:tc>
          <w:tcPr>
            <w:tcW w:w="1261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Vídeo «O filho pródigo moderno»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  <w:tc>
          <w:tcPr>
            <w:tcW w:w="1261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Vídeo.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Depois do vídeo inicia-se a celebração com o cântico: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Cântico inicial: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Podes vir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Podes vir, há sempre sol aqui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Podes vir, não caiu a noite ainda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portas estão abertas como numa manhã feliz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P’la</w:t>
            </w:r>
            <w:proofErr w:type="spellEnd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suspeita dos teus passos a chegar.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Podes vir, se te parecer que a luz morreu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Podes vir, se te parecer que tudo se perdeu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Olha à volta e vê como tudo é sinal de alguém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Que te quer bem.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Espero-te ainda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preparei tudo a pensar em ti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mesa posta e o lume a arder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Dizem o que te queria dizer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Podes vir.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Diário de Bordo: pág.21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Ficheiro áudio.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single" w:sz="4" w:space="0" w:color="000000"/>
            </w:tcBorders>
          </w:tcPr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3. Liturgia da Palavra</w:t>
            </w:r>
          </w:p>
          <w:p w:rsidR="00237F0F" w:rsidRPr="005C2D8C" w:rsidRDefault="00237F0F" w:rsidP="00237F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Proclamação do Evangelho: </w:t>
            </w:r>
            <w:proofErr w:type="spellStart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Lc</w:t>
            </w:r>
            <w:proofErr w:type="spellEnd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15, 11-32;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237F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pessoa que preside faz um breve comentário ao texto no qual tem em consideração os aspectos já trabalhados no encontro anterior, acrescentando o significado da entrega do anel, da túnica, das sandálias e da festa, bem como a palavra ao filho mais velho «o que é meu é teu»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:rsidR="00237F0F" w:rsidRPr="005C2D8C" w:rsidRDefault="00237F0F" w:rsidP="00237F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Depois canta-se o cântico - Entrega.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Sei, Senhor, que na vida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Nem sempre temos tudo,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Tudo dado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Por isso aqui estou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Pronto para ser,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Ser ajudado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Senhor, a Ti me entrego,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Com todo o coração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Eu nunca fui tão sincero,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Não sei mais o que fazer,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Sem Ti eu não sei viver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Ouve a minha oração,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Senhor dá-me a Tua mão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Sei, Senhor, que não posso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Ter tudo o que quero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Ou que gosto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Por isso peço-Te a Ti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Que me leves sempre,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Sempre Contigo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Diário de Bordo: pág.9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Diário de bordo: pág.22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4. Exame de consciência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237F0F" w:rsidRPr="005C2D8C" w:rsidRDefault="00237F0F" w:rsidP="00237F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Os catequizandos retomam o quadro «Descobre as diferenças» do encontro 2;</w:t>
            </w:r>
          </w:p>
          <w:p w:rsidR="00237F0F" w:rsidRPr="005C2D8C" w:rsidRDefault="00237F0F" w:rsidP="00237F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Lêem, de novo, o que escreveram referente à sua relação com as três figuras da parábola;</w:t>
            </w:r>
          </w:p>
          <w:p w:rsidR="00237F0F" w:rsidRPr="005C2D8C" w:rsidRDefault="00237F0F" w:rsidP="00237F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Consciencializam o que em si é semelhante ao filho mais novo e ao filho mais velho da parábola;</w:t>
            </w:r>
          </w:p>
        </w:tc>
        <w:tc>
          <w:tcPr>
            <w:tcW w:w="1261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Diário de Bordo: pág.16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Confrontam a sua vida (atitudes e escolhas) com as dos dois filhos da parábola e escrevem numa folha o que consideram ser pecado, ou seja, o que em si não os faz viver como filhos de Deus;</w:t>
            </w:r>
          </w:p>
          <w:p w:rsidR="00237F0F" w:rsidRPr="005C2D8C" w:rsidRDefault="00237F0F" w:rsidP="00237F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Num segundo momento, confrontam a sua vida com as atitudes do Pai, registando na mesma folha os sentimentos e comportamentos que se afastam dos dele.</w:t>
            </w:r>
          </w:p>
        </w:tc>
        <w:tc>
          <w:tcPr>
            <w:tcW w:w="1261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Folha para exame de consciência.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5. Liturgia da reconciliação</w:t>
            </w: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237F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Confissão sacramental;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61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Música de fundo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Cada adolescente leva a sua folha para a confissão.</w:t>
            </w: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No final da confissão:</w:t>
            </w:r>
          </w:p>
          <w:p w:rsidR="00237F0F" w:rsidRPr="005C2D8C" w:rsidRDefault="00237F0F" w:rsidP="00237F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3" w:hanging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cada catequizando recebe uma t-shirt branca;</w:t>
            </w:r>
          </w:p>
        </w:tc>
        <w:tc>
          <w:tcPr>
            <w:tcW w:w="1261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T-shirts brancas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Durante o tempo das confissões mantém-se uma música de fundo, procurando um ambiente orante.</w:t>
            </w: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3" w:hanging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pinta a sua mão com tinta e deixa a sua impressão no papel em que escreveu os pecados, de modo a que fiquem tapados; </w:t>
            </w:r>
          </w:p>
          <w:p w:rsidR="00237F0F" w:rsidRPr="005C2D8C" w:rsidRDefault="00237F0F" w:rsidP="00237F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3" w:hanging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imprime também a marca da sua mão na t-shirt;</w:t>
            </w:r>
          </w:p>
          <w:p w:rsidR="00237F0F" w:rsidRPr="005C2D8C" w:rsidRDefault="00237F0F" w:rsidP="00237F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3" w:hanging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após a conclusão das confissões todos vestem as t-shirts, simultaneamente.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D49E1">
              <w:rPr>
                <w:rFonts w:ascii="Calibri" w:eastAsia="Calibri" w:hAnsi="Calibri" w:cs="Calibri"/>
                <w:sz w:val="24"/>
                <w:szCs w:val="24"/>
              </w:rPr>
              <w:t>Tinta.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6. Liturgia Batismal</w:t>
            </w: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237F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Depois da celebração individual da reconciliação forma-se uma procissão a caminho da pia batismal;</w:t>
            </w:r>
          </w:p>
          <w:p w:rsidR="00237F0F" w:rsidRPr="005C2D8C" w:rsidRDefault="00237F0F" w:rsidP="00237F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 adolescentes levam a sua folha.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Diário de Bordo: pág.22-24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Durante a procissão canta-se o cântico - O Espírito que nos foi dado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Diário de Bordo: 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pág.14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Junto da pia batismal está um recipiente com água, o círio pascal aceso e um dístico.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Recipiente com água</w:t>
            </w: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Dístico «</w:t>
            </w:r>
            <w:r w:rsidRPr="005C2D8C">
              <w:rPr>
                <w:rFonts w:ascii="Calibri" w:hAnsi="Calibri" w:cs="Calibri"/>
                <w:sz w:val="24"/>
                <w:szCs w:val="24"/>
              </w:rPr>
              <w:t>F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>omos batizados em Jesus Cristo»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237F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Quando chegam mergulham as folhas na água.</w:t>
            </w:r>
          </w:p>
          <w:p w:rsidR="00237F0F" w:rsidRPr="005C2D8C" w:rsidRDefault="00237F0F" w:rsidP="00237F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Enquanto as folhas se vão desfazendo, alguns leitores explicitam o sentido deste gesto: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L1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A nossa mão desenhada no papel e na t-shirt representa a mão de Deus que nos criou, nos acolhe e nos recria.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Todos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Somos obra das suas mãos!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L2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 Estes papéis que se desfazem na água recordam o nosso batismo, como São Paulo escreveu: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L3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«Todos </w:t>
            </w:r>
            <w:proofErr w:type="spellStart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nós</w:t>
            </w:r>
            <w:proofErr w:type="spellEnd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que fomos batizados em Jesus Cristo fomos baptizados na sua morte. Fomos sepultados com Ele pelo Batismo na sua morte, para que, assim como Cristo ressuscitou dos mortos pela </w:t>
            </w:r>
            <w:proofErr w:type="spellStart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glória</w:t>
            </w:r>
            <w:proofErr w:type="spellEnd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do Pai, </w:t>
            </w:r>
            <w:proofErr w:type="spellStart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também</w:t>
            </w:r>
            <w:proofErr w:type="spellEnd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nós</w:t>
            </w:r>
            <w:proofErr w:type="spellEnd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vivamos uma vida nova.» (</w:t>
            </w:r>
            <w:proofErr w:type="spellStart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Rm</w:t>
            </w:r>
            <w:proofErr w:type="spellEnd"/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6, 3-4).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Todos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 Para caminharmos numa vida nova!</w:t>
            </w: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RPr="005C2D8C" w:rsidTr="00D44D6F">
        <w:tc>
          <w:tcPr>
            <w:tcW w:w="660" w:type="dxa"/>
            <w:tcBorders>
              <w:top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Cântico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(durante o gesto) - Tu podes nascer de novo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 podes nascer novo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 podes recomeçar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Tua vida com o Senhor.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partir como se fosse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Tudo iniciar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 Jesus por Pastor (bis)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2. Tu beberás desta água,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Fonte de vida e amor,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Fonte de fé e verdade.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 beberás desta água,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Que te oferece o Salvador,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Fonte de eternidade (bis)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3. Tu podes ter o perdão,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Varrer os erros passados,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Porque Jesus tudo pagou.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 podes receber paz,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a alegria que ela traz,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Porque Ele te resgatou! (bis)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Gesto: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fazer o sinal da cruz sobre si com a água benzida, da pia baptismal.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L4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Caminhar numa vida nova é ser santo.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L5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Caminhar numa vida nova é viver o amor fraterno.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L6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Caminhar numa vida nova é viver em liberdade. 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Todos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Esta é a nova vida dos filhos de Deus!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L7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Ser filho de Deus pelo Batismo é ser luz em Cristo, é iluminar o mundo.</w:t>
            </w:r>
          </w:p>
          <w:p w:rsidR="00237F0F" w:rsidRPr="005C2D8C" w:rsidRDefault="00237F0F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Todos </w:t>
            </w:r>
            <w:r w:rsidRPr="005C2D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 Somos luz em Cristo!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Diário de Bordo: pág.23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O cântico é entoado durante a realização do gesto.</w:t>
            </w:r>
          </w:p>
        </w:tc>
      </w:tr>
      <w:tr w:rsidR="00237F0F" w:rsidRPr="005C2D8C" w:rsidTr="00D44D6F">
        <w:tc>
          <w:tcPr>
            <w:tcW w:w="660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Cântico (durante o gesto)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Senhor, </w:t>
            </w:r>
            <w:proofErr w:type="gramStart"/>
            <w:r w:rsidRPr="005C2D8C"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proofErr w:type="gramEnd"/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és a luz que ilumina a terra inteira.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Tu és a luz que ilumina a minha vida.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Gesto: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cada um acende uma vela no círio.</w:t>
            </w: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Profissão de fé</w:t>
            </w: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- Credes em Deus, Pai todo-poderoso, criador do céu e da terra? </w:t>
            </w: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Todos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- Sim, creio.</w:t>
            </w: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- Credes em Jesus Cristo, seu único Filho, nosso Senhor, que nasceu da Virgem Maria, padeceu e foi sepultado, ressuscitou dos mortos e está sentado à direita do Pai?</w:t>
            </w: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Todos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- Sim, creio.</w:t>
            </w: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P -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Credes no Espírito Santo, na Santa Igreja Católica, na comunhão dos santos, na ressurreição da carne e na vida eterna?</w:t>
            </w: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Todos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- Sim, creio.</w:t>
            </w:r>
          </w:p>
          <w:p w:rsidR="00237F0F" w:rsidRPr="005C2D8C" w:rsidRDefault="00237F0F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Todos -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Esta é a nossa fé. Esta é a fé da Igreja, que nos gloriamos de professar, em Jesus Cristo, nosso Senhor. Ámen. </w:t>
            </w:r>
          </w:p>
          <w:p w:rsidR="00237F0F" w:rsidRPr="005C2D8C" w:rsidRDefault="00237F0F" w:rsidP="00D44D6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b/>
                <w:sz w:val="24"/>
                <w:szCs w:val="24"/>
              </w:rPr>
              <w:t>Cântico</w:t>
            </w:r>
            <w:r w:rsidRPr="005C2D8C">
              <w:rPr>
                <w:rFonts w:ascii="Calibri" w:eastAsia="Calibri" w:hAnsi="Calibri" w:cs="Calibri"/>
                <w:sz w:val="24"/>
                <w:szCs w:val="24"/>
              </w:rPr>
              <w:t xml:space="preserve"> – Tu podes nascer de novo</w:t>
            </w:r>
          </w:p>
        </w:tc>
        <w:tc>
          <w:tcPr>
            <w:tcW w:w="12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Diário de Bordo: pág.23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2D8C">
              <w:rPr>
                <w:rFonts w:ascii="Calibri" w:eastAsia="Calibri" w:hAnsi="Calibri" w:cs="Calibri"/>
                <w:sz w:val="24"/>
                <w:szCs w:val="24"/>
              </w:rPr>
              <w:t>Velas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Pr="005C2D8C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7F0F" w:rsidTr="00D44D6F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Default="00237F0F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Default="00237F0F" w:rsidP="00D44D6F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black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7. Projeto</w:t>
            </w:r>
          </w:p>
          <w:p w:rsidR="00237F0F" w:rsidRDefault="00237F0F" w:rsidP="00237F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 base no cronograma definido no encontro anterior, recordar aos adolescentes que, no encontro seguinte, terão de apresentar o trabalho já efetuado em equipa;</w:t>
            </w:r>
          </w:p>
          <w:p w:rsidR="00237F0F" w:rsidRDefault="00237F0F" w:rsidP="00237F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equipas deverão definir a modalidade de apresentação do trabalho (oral, em PPT, ou outra).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Default="00237F0F" w:rsidP="00D44D6F">
            <w:pPr>
              <w:widowControl w:val="0"/>
              <w:spacing w:before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Diário de Bordo: pág.11-13.</w:t>
            </w:r>
          </w:p>
          <w:p w:rsidR="00237F0F" w:rsidRDefault="00237F0F" w:rsidP="00D44D6F">
            <w:pPr>
              <w:widowControl w:val="0"/>
              <w:spacing w:before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Cronograma do projeto do encontro anterior.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0F" w:rsidRDefault="00237F0F" w:rsidP="00D44D6F">
            <w:pPr>
              <w:widowControl w:val="0"/>
              <w:spacing w:before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catequista tem um papel essencial na motivação dos adolescentes e no funcionamento das equipas.</w:t>
            </w:r>
          </w:p>
        </w:tc>
      </w:tr>
    </w:tbl>
    <w:p w:rsidR="00DF3705" w:rsidRDefault="00DF3705"/>
    <w:sectPr w:rsidR="00DF3705" w:rsidSect="009C587C">
      <w:headerReference w:type="first" r:id="rId9"/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412B" w:rsidRDefault="009E412B" w:rsidP="00237F0F">
      <w:pPr>
        <w:spacing w:after="0" w:line="240" w:lineRule="auto"/>
      </w:pPr>
      <w:r>
        <w:separator/>
      </w:r>
    </w:p>
  </w:endnote>
  <w:endnote w:type="continuationSeparator" w:id="0">
    <w:p w:rsidR="009E412B" w:rsidRDefault="009E412B" w:rsidP="0023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BSCRIBER">
    <w:altName w:val="Calibri"/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412B" w:rsidRDefault="009E412B" w:rsidP="00237F0F">
      <w:pPr>
        <w:spacing w:after="0" w:line="240" w:lineRule="auto"/>
      </w:pPr>
      <w:r>
        <w:separator/>
      </w:r>
    </w:p>
  </w:footnote>
  <w:footnote w:type="continuationSeparator" w:id="0">
    <w:p w:rsidR="009E412B" w:rsidRDefault="009E412B" w:rsidP="0023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1217145"/>
      <w:docPartObj>
        <w:docPartGallery w:val="Page Numbers (Top of Page)"/>
        <w:docPartUnique/>
      </w:docPartObj>
    </w:sdtPr>
    <w:sdtEndPr/>
    <w:sdtContent>
      <w:p w:rsidR="00237F0F" w:rsidRDefault="00237F0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7F0F" w:rsidRDefault="00237F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750CD"/>
    <w:multiLevelType w:val="multilevel"/>
    <w:tmpl w:val="42F063C4"/>
    <w:lvl w:ilvl="0">
      <w:start w:val="1"/>
      <w:numFmt w:val="lowerRoman"/>
      <w:lvlText w:val="%1."/>
      <w:lvlJc w:val="right"/>
      <w:pPr>
        <w:ind w:left="1497" w:hanging="360"/>
      </w:pPr>
    </w:lvl>
    <w:lvl w:ilvl="1">
      <w:start w:val="1"/>
      <w:numFmt w:val="lowerLetter"/>
      <w:lvlText w:val="%2."/>
      <w:lvlJc w:val="left"/>
      <w:pPr>
        <w:ind w:left="2217" w:hanging="360"/>
      </w:pPr>
    </w:lvl>
    <w:lvl w:ilvl="2">
      <w:start w:val="1"/>
      <w:numFmt w:val="lowerRoman"/>
      <w:lvlText w:val="%3."/>
      <w:lvlJc w:val="right"/>
      <w:pPr>
        <w:ind w:left="2937" w:hanging="180"/>
      </w:pPr>
    </w:lvl>
    <w:lvl w:ilvl="3">
      <w:start w:val="1"/>
      <w:numFmt w:val="decimal"/>
      <w:lvlText w:val="%4."/>
      <w:lvlJc w:val="left"/>
      <w:pPr>
        <w:ind w:left="3657" w:hanging="360"/>
      </w:pPr>
    </w:lvl>
    <w:lvl w:ilvl="4">
      <w:start w:val="1"/>
      <w:numFmt w:val="lowerLetter"/>
      <w:lvlText w:val="%5."/>
      <w:lvlJc w:val="left"/>
      <w:pPr>
        <w:ind w:left="4377" w:hanging="360"/>
      </w:pPr>
    </w:lvl>
    <w:lvl w:ilvl="5">
      <w:start w:val="1"/>
      <w:numFmt w:val="lowerRoman"/>
      <w:lvlText w:val="%6."/>
      <w:lvlJc w:val="right"/>
      <w:pPr>
        <w:ind w:left="5097" w:hanging="180"/>
      </w:pPr>
    </w:lvl>
    <w:lvl w:ilvl="6">
      <w:start w:val="1"/>
      <w:numFmt w:val="decimal"/>
      <w:lvlText w:val="%7."/>
      <w:lvlJc w:val="left"/>
      <w:pPr>
        <w:ind w:left="5817" w:hanging="360"/>
      </w:pPr>
    </w:lvl>
    <w:lvl w:ilvl="7">
      <w:start w:val="1"/>
      <w:numFmt w:val="lowerLetter"/>
      <w:lvlText w:val="%8."/>
      <w:lvlJc w:val="left"/>
      <w:pPr>
        <w:ind w:left="6537" w:hanging="360"/>
      </w:pPr>
    </w:lvl>
    <w:lvl w:ilvl="8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29613740"/>
    <w:multiLevelType w:val="multilevel"/>
    <w:tmpl w:val="BD8AD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040D0A"/>
    <w:multiLevelType w:val="multilevel"/>
    <w:tmpl w:val="BB262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DC4E56"/>
    <w:multiLevelType w:val="multilevel"/>
    <w:tmpl w:val="060C7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765110"/>
    <w:multiLevelType w:val="multilevel"/>
    <w:tmpl w:val="53066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7E76DA"/>
    <w:multiLevelType w:val="multilevel"/>
    <w:tmpl w:val="BA18B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2E345E"/>
    <w:multiLevelType w:val="multilevel"/>
    <w:tmpl w:val="6F383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836BEE"/>
    <w:multiLevelType w:val="multilevel"/>
    <w:tmpl w:val="93D25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916D19"/>
    <w:multiLevelType w:val="multilevel"/>
    <w:tmpl w:val="53D8DF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F"/>
    <w:rsid w:val="001C792C"/>
    <w:rsid w:val="00237F0F"/>
    <w:rsid w:val="00247516"/>
    <w:rsid w:val="009C587C"/>
    <w:rsid w:val="009D2A11"/>
    <w:rsid w:val="009E412B"/>
    <w:rsid w:val="00D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66C87-9AF5-4CCD-80CC-082BE6D3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0F"/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37F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237F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ter"/>
    <w:uiPriority w:val="99"/>
    <w:unhideWhenUsed/>
    <w:rsid w:val="00237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F0F"/>
  </w:style>
  <w:style w:type="paragraph" w:styleId="Rodap">
    <w:name w:val="footer"/>
    <w:basedOn w:val="Normal"/>
    <w:link w:val="RodapCarter"/>
    <w:uiPriority w:val="99"/>
    <w:unhideWhenUsed/>
    <w:rsid w:val="00237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Pedro Quintans</cp:lastModifiedBy>
  <cp:revision>2</cp:revision>
  <dcterms:created xsi:type="dcterms:W3CDTF">2020-02-21T18:10:00Z</dcterms:created>
  <dcterms:modified xsi:type="dcterms:W3CDTF">2020-02-21T18:10:00Z</dcterms:modified>
</cp:coreProperties>
</file>